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Mönsterås kommunfullmäktige</w:t>
      </w:r>
    </w:p>
    <w:p>
      <w:pPr>
        <w:pStyle w:val="Heading1"/>
      </w:pPr>
      <w:r>
        <w:t xml:space="preserve">Bygg fler hyresrätter i centralorten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Mönsterås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Boverket visar bostadsbrist för unga och nyanlända. Mönsterås har endast 35 nya hyresrätter byggda 2020–2024. Fler bostäder behövs för att behålla ungdomar och stödja integration.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Mönsterås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Mönsterås Fastighets AB att planera 80 nya hyresrätter fram till 2029.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använda kommunal mark vid Stationsområdet för detta ändamål.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krav på 30 % av nya bostäder som hyresrätter i detaljplaner.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bostadsförsörjningsläget årligen i kommunstyrelsen.</w:t>
      </w:r>
    </w:p>
    <w:p>
      <w:pPr>
        <w:spacing w:before="360"/>
      </w:pPr>
    </w:p>
    <w:p>
      <w:r>
        <w:t xml:space="preserve">Mönsterås,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Mönsterås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2026-07-14T00:54:35.544Z</dcterms:created>
  <dcterms:modified xsi:type="dcterms:W3CDTF">2026-07-14T00:54:35.544Z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